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A6" w:rsidRDefault="006606A6">
      <w:pPr>
        <w:spacing w:before="120"/>
        <w:rPr>
          <w:rFonts w:ascii="Tahoma"/>
          <w:caps/>
          <w:color w:val="777777"/>
          <w:u w:color="777777"/>
        </w:rPr>
      </w:pPr>
    </w:p>
    <w:p w:rsidR="006606A6" w:rsidRDefault="000F590A">
      <w:pPr>
        <w:spacing w:before="120"/>
        <w:jc w:val="center"/>
        <w:rPr>
          <w:rFonts w:ascii="Tahoma"/>
          <w:caps/>
          <w:color w:val="777777"/>
          <w:u w:color="777777"/>
        </w:rPr>
      </w:pPr>
      <w:r>
        <w:rPr>
          <w:noProof/>
          <w:lang w:val="pl-PL" w:eastAsia="pl-PL"/>
        </w:rPr>
        <w:drawing>
          <wp:inline distT="0" distB="0" distL="0" distR="0">
            <wp:extent cx="1474900" cy="888483"/>
            <wp:effectExtent l="0" t="0" r="0" b="0"/>
            <wp:docPr id="1073741825" name="officeArt object" descr="clip_image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clip_image002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900" cy="8884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606A6" w:rsidRDefault="006606A6">
      <w:pPr>
        <w:spacing w:before="120"/>
        <w:jc w:val="center"/>
        <w:rPr>
          <w:rFonts w:ascii="Tahoma"/>
          <w:caps/>
          <w:color w:val="777777"/>
          <w:u w:color="777777"/>
        </w:rPr>
      </w:pPr>
    </w:p>
    <w:p w:rsidR="006606A6" w:rsidRPr="007C7FA0" w:rsidRDefault="000F590A">
      <w:pPr>
        <w:spacing w:before="120"/>
        <w:jc w:val="center"/>
        <w:rPr>
          <w:rFonts w:ascii="Tahoma" w:eastAsia="Tahoma" w:hAnsi="Tahoma" w:cs="Tahoma"/>
          <w:caps/>
          <w:color w:val="777777"/>
          <w:u w:color="777777"/>
          <w:lang w:val="pl-PL"/>
        </w:rPr>
      </w:pPr>
      <w:r w:rsidRPr="007C7FA0">
        <w:rPr>
          <w:rFonts w:ascii="Tahoma"/>
          <w:caps/>
          <w:color w:val="777777"/>
          <w:u w:color="777777"/>
          <w:lang w:val="pl-PL"/>
        </w:rPr>
        <w:t>Akademia muzyczna im. feliksa nowowiejskiego w bydgoszczy</w:t>
      </w:r>
    </w:p>
    <w:p w:rsidR="006606A6" w:rsidRPr="007C7FA0" w:rsidRDefault="000F590A">
      <w:pPr>
        <w:jc w:val="center"/>
        <w:rPr>
          <w:rFonts w:ascii="Tahoma" w:eastAsia="Tahoma" w:hAnsi="Tahoma" w:cs="Tahoma"/>
          <w:color w:val="777777"/>
          <w:spacing w:val="100"/>
          <w:sz w:val="16"/>
          <w:szCs w:val="16"/>
          <w:u w:color="777777"/>
          <w:lang w:val="pl-PL"/>
        </w:rPr>
      </w:pPr>
      <w:r w:rsidRPr="007C7FA0">
        <w:rPr>
          <w:rFonts w:ascii="Tahoma"/>
          <w:color w:val="777777"/>
          <w:spacing w:val="100"/>
          <w:sz w:val="16"/>
          <w:szCs w:val="16"/>
          <w:u w:color="777777"/>
          <w:lang w:val="pl-PL"/>
        </w:rPr>
        <w:t>Wydzia</w:t>
      </w:r>
      <w:r w:rsidRPr="007C7FA0">
        <w:rPr>
          <w:rFonts w:hAnsi="Tahoma"/>
          <w:color w:val="777777"/>
          <w:spacing w:val="100"/>
          <w:sz w:val="16"/>
          <w:szCs w:val="16"/>
          <w:u w:color="777777"/>
          <w:lang w:val="pl-PL"/>
        </w:rPr>
        <w:t>ł</w:t>
      </w:r>
      <w:r w:rsidRPr="007C7FA0">
        <w:rPr>
          <w:color w:val="777777"/>
          <w:spacing w:val="100"/>
          <w:sz w:val="16"/>
          <w:szCs w:val="16"/>
          <w:u w:color="777777"/>
          <w:lang w:val="pl-PL"/>
        </w:rPr>
        <w:t xml:space="preserve"> </w:t>
      </w:r>
      <w:r w:rsidRPr="007C7FA0">
        <w:rPr>
          <w:rFonts w:ascii="Tahoma"/>
          <w:color w:val="777777"/>
          <w:spacing w:val="100"/>
          <w:sz w:val="16"/>
          <w:szCs w:val="16"/>
          <w:u w:color="777777"/>
          <w:lang w:val="pl-PL"/>
        </w:rPr>
        <w:t>Dyrygentury, Jazzu i Edukacji Muzycznej</w:t>
      </w:r>
    </w:p>
    <w:p w:rsidR="006606A6" w:rsidRPr="007C7FA0" w:rsidRDefault="006606A6">
      <w:pPr>
        <w:rPr>
          <w:rFonts w:ascii="Cambria" w:eastAsia="Cambria" w:hAnsi="Cambria" w:cs="Cambria"/>
          <w:color w:val="777777"/>
          <w:sz w:val="16"/>
          <w:szCs w:val="16"/>
          <w:u w:color="777777"/>
          <w:lang w:val="pl-PL"/>
        </w:rPr>
      </w:pPr>
    </w:p>
    <w:p w:rsidR="006606A6" w:rsidRPr="007C7FA0" w:rsidRDefault="006606A6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tbl>
      <w:tblPr>
        <w:tblStyle w:val="TableNormal"/>
        <w:tblW w:w="88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276"/>
        <w:gridCol w:w="521"/>
        <w:gridCol w:w="530"/>
        <w:gridCol w:w="733"/>
        <w:gridCol w:w="2364"/>
        <w:gridCol w:w="975"/>
        <w:gridCol w:w="465"/>
        <w:gridCol w:w="1463"/>
      </w:tblGrid>
      <w:tr w:rsidR="006606A6">
        <w:trPr>
          <w:trHeight w:val="672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Nazwa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: </w:t>
            </w:r>
          </w:p>
          <w:p w:rsidR="006606A6" w:rsidRDefault="000F590A"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it-IT"/>
              </w:rPr>
              <w:t>Akompaniament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PSChiEGPK1</w:t>
            </w:r>
          </w:p>
          <w:p w:rsidR="006606A6" w:rsidRDefault="000F590A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PSChiEGPK3</w:t>
            </w:r>
          </w:p>
        </w:tc>
      </w:tr>
      <w:tr w:rsidR="006606A6">
        <w:trPr>
          <w:trHeight w:val="687"/>
        </w:trPr>
        <w:tc>
          <w:tcPr>
            <w:tcW w:w="696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jednostki prowadzącej moduł/przedmiot:</w:t>
            </w: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Wydział Dyrygentury, Jazzu i Edukacji Muzycznej</w:t>
            </w:r>
          </w:p>
        </w:tc>
        <w:tc>
          <w:tcPr>
            <w:tcW w:w="19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Obowiązuje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od</w:t>
            </w:r>
          </w:p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roku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akademickiego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2014/2015</w:t>
            </w:r>
          </w:p>
        </w:tc>
      </w:tr>
      <w:tr w:rsidR="006606A6" w:rsidRPr="007C7FA0">
        <w:trPr>
          <w:trHeight w:val="452"/>
        </w:trPr>
        <w:tc>
          <w:tcPr>
            <w:tcW w:w="889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Nazwa kierunku:</w:t>
            </w:r>
          </w:p>
          <w:p w:rsidR="006606A6" w:rsidRPr="007C7FA0" w:rsidRDefault="007C7FA0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Podyplomowe Studia </w:t>
            </w:r>
            <w:proofErr w:type="spellStart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Chórmistrzostwa</w:t>
            </w:r>
            <w:proofErr w:type="spellEnd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I Emisji Głosu</w:t>
            </w:r>
            <w:bookmarkStart w:id="0" w:name="_GoBack"/>
            <w:bookmarkEnd w:id="0"/>
          </w:p>
        </w:tc>
      </w:tr>
      <w:tr w:rsidR="006606A6">
        <w:trPr>
          <w:trHeight w:val="452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studiów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Studia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podyplomowe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Profil kształcenia:</w:t>
            </w:r>
          </w:p>
          <w:p w:rsidR="006606A6" w:rsidRPr="007C7FA0" w:rsidRDefault="000F590A">
            <w:pPr>
              <w:rPr>
                <w:lang w:val="pl-PL"/>
              </w:rPr>
            </w:pPr>
            <w:proofErr w:type="spellStart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ogólno</w:t>
            </w:r>
            <w:proofErr w:type="spellEnd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- akademicki (A)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Status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Kierunkowy</w:t>
            </w:r>
            <w:proofErr w:type="spellEnd"/>
          </w:p>
        </w:tc>
      </w:tr>
      <w:tr w:rsidR="006606A6" w:rsidRPr="007C7FA0">
        <w:trPr>
          <w:trHeight w:val="662"/>
        </w:trPr>
        <w:tc>
          <w:tcPr>
            <w:tcW w:w="5991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Specjalność:</w:t>
            </w:r>
          </w:p>
          <w:p w:rsidR="006606A6" w:rsidRPr="007C7FA0" w:rsidRDefault="000F590A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  <w:lang w:val="it-IT"/>
              </w:rPr>
              <w:t>Dyrygentura ch</w:t>
            </w:r>
            <w:proofErr w:type="spellStart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óralna</w:t>
            </w:r>
            <w:proofErr w:type="spellEnd"/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 </w:t>
            </w: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Emisja głosu</w:t>
            </w:r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Rok/Liczba semestrów:</w:t>
            </w: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>I-II/I-IV</w:t>
            </w:r>
          </w:p>
        </w:tc>
      </w:tr>
      <w:tr w:rsidR="006606A6">
        <w:trPr>
          <w:trHeight w:val="667"/>
        </w:trPr>
        <w:tc>
          <w:tcPr>
            <w:tcW w:w="2894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Język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modułu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przedmiotu</w:t>
            </w:r>
            <w:proofErr w:type="spellEnd"/>
          </w:p>
          <w:p w:rsidR="006606A6" w:rsidRDefault="000F590A"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polski</w:t>
            </w:r>
            <w:proofErr w:type="spellEnd"/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eoria</w:t>
            </w:r>
            <w:proofErr w:type="spellEnd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praktyka</w:t>
            </w:r>
            <w:proofErr w:type="spellEnd"/>
          </w:p>
        </w:tc>
        <w:tc>
          <w:tcPr>
            <w:tcW w:w="2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Wymiar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zajęć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</w:t>
            </w:r>
          </w:p>
          <w:p w:rsidR="006606A6" w:rsidRDefault="000F590A">
            <w:pP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60</w:t>
            </w:r>
          </w:p>
          <w:p w:rsidR="006606A6" w:rsidRDefault="000F590A"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60</w:t>
            </w:r>
          </w:p>
        </w:tc>
      </w:tr>
      <w:tr w:rsidR="006606A6">
        <w:trPr>
          <w:trHeight w:val="305"/>
        </w:trPr>
        <w:tc>
          <w:tcPr>
            <w:tcW w:w="2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  <w:lang w:val="nl-NL"/>
              </w:rPr>
              <w:t>Koordynator modu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łu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r>
              <w:rPr>
                <w:rFonts w:ascii="Cambria" w:eastAsia="Cambria" w:hAnsi="Cambria" w:cs="Cambria"/>
                <w:b/>
                <w:bCs/>
              </w:rPr>
              <w:t xml:space="preserve">Prof.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dr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hab.Marcin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Tomaczak</w:t>
            </w:r>
            <w:proofErr w:type="spellEnd"/>
          </w:p>
        </w:tc>
      </w:tr>
      <w:tr w:rsidR="006606A6">
        <w:trPr>
          <w:trHeight w:val="300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Prowadzący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zajęcia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roofErr w:type="spellStart"/>
            <w:r>
              <w:rPr>
                <w:rFonts w:ascii="Cambria" w:eastAsia="Cambria" w:hAnsi="Cambria" w:cs="Cambria"/>
                <w:b/>
                <w:bCs/>
              </w:rPr>
              <w:t>mgr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Aldona</w:t>
            </w:r>
            <w:proofErr w:type="spellEnd"/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</w:rPr>
              <w:t>Lepak</w:t>
            </w:r>
            <w:proofErr w:type="spellEnd"/>
          </w:p>
        </w:tc>
      </w:tr>
      <w:tr w:rsidR="006606A6" w:rsidRPr="007C7FA0">
        <w:trPr>
          <w:trHeight w:val="735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Cele i założenia </w:t>
            </w:r>
          </w:p>
          <w:p w:rsidR="006606A6" w:rsidRPr="007C7FA0" w:rsidRDefault="000F590A">
            <w:pPr>
              <w:jc w:val="center"/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przedmiotu/modułu</w:t>
            </w:r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lang w:val="pl-PL"/>
              </w:rPr>
              <w:t>Doskonalenie umiejętności studenta we współpracy z pianistą</w:t>
            </w:r>
            <w:r>
              <w:rPr>
                <w:rFonts w:ascii="Cambria" w:eastAsia="Cambria" w:hAnsi="Cambria" w:cs="Cambria"/>
                <w:lang w:val="it-IT"/>
              </w:rPr>
              <w:t>-akompaniatorem</w:t>
            </w:r>
          </w:p>
        </w:tc>
      </w:tr>
      <w:tr w:rsidR="006606A6">
        <w:trPr>
          <w:trHeight w:val="551"/>
        </w:trPr>
        <w:tc>
          <w:tcPr>
            <w:tcW w:w="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Wymagania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wstępne</w:t>
            </w:r>
            <w:proofErr w:type="spellEnd"/>
          </w:p>
        </w:tc>
        <w:tc>
          <w:tcPr>
            <w:tcW w:w="6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roofErr w:type="spellStart"/>
            <w:r>
              <w:rPr>
                <w:rFonts w:ascii="Cambria" w:eastAsia="Cambria" w:hAnsi="Cambria" w:cs="Cambria"/>
              </w:rPr>
              <w:t>Umiejętność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dyrygowania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przy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fortepianie</w:t>
            </w:r>
            <w:proofErr w:type="spellEnd"/>
          </w:p>
        </w:tc>
      </w:tr>
      <w:tr w:rsidR="006606A6">
        <w:trPr>
          <w:trHeight w:val="28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EFEKTY KSZTAŁCENIA PRZEDMIOTU</w:t>
            </w:r>
          </w:p>
        </w:tc>
      </w:tr>
      <w:tr w:rsidR="006606A6">
        <w:trPr>
          <w:trHeight w:val="287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/>
        </w:tc>
      </w:tr>
      <w:tr w:rsidR="006606A6">
        <w:trPr>
          <w:trHeight w:val="432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/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Kod</w:t>
            </w:r>
            <w:proofErr w:type="spellEnd"/>
            <w:r>
              <w:rPr>
                <w:rFonts w:ascii="Cambria" w:eastAsia="Cambria" w:hAnsi="Cambria" w:cs="Cambr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8"/>
                <w:szCs w:val="18"/>
              </w:rPr>
              <w:t>efektu</w:t>
            </w:r>
            <w:proofErr w:type="spellEnd"/>
          </w:p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6606A6"/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Kierunkowy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efekt</w:t>
            </w:r>
            <w:proofErr w:type="spellEnd"/>
          </w:p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kształcenia</w:t>
            </w:r>
            <w:proofErr w:type="spellEnd"/>
          </w:p>
        </w:tc>
      </w:tr>
      <w:tr w:rsidR="006606A6">
        <w:trPr>
          <w:trHeight w:val="1048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Wiedza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W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/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2"/>
                <w:szCs w:val="22"/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>-Student ma ugruntowaną znajomość repertuaru wokalnego/instrumentalnego poszczególnych epok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K_W01</w:t>
            </w: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K_W02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K_W03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K_U01</w:t>
            </w: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K_U03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K_U04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K_U04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K_K01</w:t>
            </w: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K_K02</w:t>
            </w: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</w:p>
          <w:p w:rsidR="006606A6" w:rsidRPr="007C7FA0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K_K02</w:t>
            </w:r>
          </w:p>
          <w:p w:rsidR="006606A6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K_K05</w:t>
            </w:r>
          </w:p>
          <w:p w:rsidR="006606A6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K_K06</w:t>
            </w: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/>
        </w:tc>
      </w:tr>
      <w:tr w:rsidR="006606A6" w:rsidRPr="007C7FA0">
        <w:trPr>
          <w:trHeight w:val="1259"/>
        </w:trPr>
        <w:tc>
          <w:tcPr>
            <w:tcW w:w="1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6606A6" w:rsidRDefault="006606A6"/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6606A6" w:rsidRDefault="006606A6"/>
        </w:tc>
        <w:tc>
          <w:tcPr>
            <w:tcW w:w="506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>-Student wykazuje głębokie zrozumienie wzajemnych relacji zachodzących pomiędzy teoretycznymi a praktycznymi aspektami studiów</w:t>
            </w:r>
            <w:r w:rsidRPr="007C7FA0">
              <w:rPr>
                <w:rFonts w:ascii="Cambria" w:eastAsia="Cambria" w:hAnsi="Cambria" w:cs="Cambria"/>
                <w:lang w:val="pl-PL"/>
              </w:rPr>
              <w:t>.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 w:rsidRPr="007C7FA0">
        <w:trPr>
          <w:trHeight w:val="661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Umiejętności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/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1"/>
                <w:szCs w:val="21"/>
                <w:lang w:val="pl-PL"/>
              </w:rPr>
              <w:t>-Student posiada rozwiniętą osobowość artystyczną</w:t>
            </w:r>
            <w:r>
              <w:rPr>
                <w:rFonts w:ascii="Cambria" w:eastAsia="Cambria" w:hAnsi="Cambria" w:cs="Cambria"/>
                <w:sz w:val="21"/>
                <w:szCs w:val="21"/>
                <w:lang w:val="pt-PT"/>
              </w:rPr>
              <w:t>, umo</w:t>
            </w:r>
            <w:proofErr w:type="spellStart"/>
            <w:r w:rsidRPr="007C7FA0">
              <w:rPr>
                <w:rFonts w:ascii="Cambria" w:eastAsia="Cambria" w:hAnsi="Cambria" w:cs="Cambria"/>
                <w:sz w:val="21"/>
                <w:szCs w:val="21"/>
                <w:lang w:val="pl-PL"/>
              </w:rPr>
              <w:t>żliwiającą</w:t>
            </w:r>
            <w:proofErr w:type="spellEnd"/>
            <w:r w:rsidRPr="007C7FA0">
              <w:rPr>
                <w:rFonts w:ascii="Cambria" w:eastAsia="Cambria" w:hAnsi="Cambria" w:cs="Cambria"/>
                <w:sz w:val="21"/>
                <w:szCs w:val="21"/>
                <w:lang w:val="pl-PL"/>
              </w:rPr>
              <w:t xml:space="preserve"> tworzenie realizowanie i wyrażanie własnych koncepcji artystycznych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 w:rsidRPr="007C7FA0">
        <w:trPr>
          <w:trHeight w:val="721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-Student potrafi w stopniu zaawansowanym identyfikować problemy techniki dyrygenckiej oraz aplikować odpowiednie ćwiczenia 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 w:rsidRPr="007C7FA0">
        <w:trPr>
          <w:trHeight w:val="677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506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 xml:space="preserve">- Student potrafi odnaleźć się w roli wiodącej,  kompetentnie przekazując logikę utworu 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 w:rsidRPr="007C7FA0">
        <w:trPr>
          <w:trHeight w:val="844"/>
        </w:trPr>
        <w:tc>
          <w:tcPr>
            <w:tcW w:w="1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Kompetencje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społeczne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</w:p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K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)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6606A6"/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>-Student potrafi właściwie ocenić własne działania artystyczne wyciągając wnioski do realizacji następnych projektów.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 w:rsidRPr="007C7FA0">
        <w:trPr>
          <w:trHeight w:val="4617"/>
        </w:trPr>
        <w:tc>
          <w:tcPr>
            <w:tcW w:w="1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6606A6">
            <w:pPr>
              <w:rPr>
                <w:lang w:val="pl-PL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>-Student potrafi wzbudzić zaufanie odbiorcy dając świadectwo najlepszych intencji i starań włożonych w przygotowanie repertuaru</w:t>
            </w: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606A6" w:rsidRPr="007C7FA0" w:rsidRDefault="006606A6">
            <w:pPr>
              <w:rPr>
                <w:lang w:val="pl-PL"/>
              </w:rPr>
            </w:pPr>
          </w:p>
        </w:tc>
      </w:tr>
      <w:tr w:rsidR="006606A6">
        <w:trPr>
          <w:trHeight w:val="36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TREŚCI PROGRAMOWE PRZEDMIOTU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godzin</w:t>
            </w:r>
            <w:proofErr w:type="spellEnd"/>
          </w:p>
        </w:tc>
      </w:tr>
      <w:tr w:rsidR="006606A6">
        <w:trPr>
          <w:trHeight w:val="2212"/>
        </w:trPr>
        <w:tc>
          <w:tcPr>
            <w:tcW w:w="74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Default="000F590A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Pogłębienie współpracy z akompaniatorem-pianistą zarówno jako ekwiwalentem orkiestry, chóru jak i solistów</w:t>
            </w:r>
          </w:p>
          <w:p w:rsidR="006606A6" w:rsidRDefault="000F590A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Pogłębianie wrażliwości muzycznej właściwej wspólnemu muzykowaniu</w:t>
            </w:r>
          </w:p>
          <w:p w:rsidR="006606A6" w:rsidRDefault="000F590A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771"/>
              </w:tabs>
              <w:spacing w:after="0" w:line="276" w:lineRule="auto"/>
              <w:ind w:left="771" w:hanging="411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Poznawanie różnych możliwości interpretacji jednego utworu</w:t>
            </w:r>
          </w:p>
          <w:p w:rsidR="006606A6" w:rsidRDefault="000F590A">
            <w:pPr>
              <w:pStyle w:val="NormalnyWeb"/>
              <w:numPr>
                <w:ilvl w:val="0"/>
                <w:numId w:val="3"/>
              </w:numPr>
              <w:tabs>
                <w:tab w:val="clear" w:pos="720"/>
                <w:tab w:val="num" w:pos="771"/>
              </w:tabs>
              <w:spacing w:after="0" w:line="276" w:lineRule="auto"/>
              <w:ind w:left="771" w:hanging="411"/>
              <w:rPr>
                <w:sz w:val="21"/>
                <w:szCs w:val="21"/>
              </w:rPr>
            </w:pPr>
            <w:r>
              <w:rPr>
                <w:rFonts w:ascii="Cambria" w:eastAsia="Cambria" w:hAnsi="Cambria" w:cs="Cambria"/>
                <w:sz w:val="21"/>
                <w:szCs w:val="21"/>
              </w:rPr>
              <w:t>Poszerzenie umiejętności doboru brzmienia, dynamiki, artykulacji w sposób odpowiedni dla współbrzmienia głosów</w:t>
            </w:r>
          </w:p>
          <w:p w:rsidR="006606A6" w:rsidRDefault="000F590A">
            <w:pPr>
              <w:pStyle w:val="NormalnyWeb"/>
              <w:numPr>
                <w:ilvl w:val="0"/>
                <w:numId w:val="4"/>
              </w:numPr>
              <w:tabs>
                <w:tab w:val="clear" w:pos="675"/>
                <w:tab w:val="num" w:pos="720"/>
              </w:tabs>
              <w:spacing w:after="0" w:line="276" w:lineRule="auto"/>
              <w:ind w:left="720" w:hanging="360"/>
            </w:pPr>
            <w:r>
              <w:rPr>
                <w:rFonts w:ascii="Cambria" w:eastAsia="Cambria" w:hAnsi="Cambria" w:cs="Cambria"/>
                <w:sz w:val="21"/>
                <w:szCs w:val="21"/>
              </w:rPr>
              <w:t xml:space="preserve">Nauka akceptacji indywidualności artystycznej </w:t>
            </w:r>
            <w:proofErr w:type="spellStart"/>
            <w:r>
              <w:rPr>
                <w:rFonts w:ascii="Cambria" w:eastAsia="Cambria" w:hAnsi="Cambria" w:cs="Cambria"/>
                <w:sz w:val="21"/>
                <w:szCs w:val="21"/>
              </w:rPr>
              <w:t>współmuzyków</w:t>
            </w:r>
            <w:proofErr w:type="spellEnd"/>
          </w:p>
        </w:tc>
        <w:tc>
          <w:tcPr>
            <w:tcW w:w="14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6606A6" w:rsidRDefault="006606A6">
            <w:pPr>
              <w:jc w:val="center"/>
            </w:pPr>
          </w:p>
          <w:p w:rsidR="006606A6" w:rsidRDefault="006606A6">
            <w:pPr>
              <w:jc w:val="center"/>
            </w:pPr>
          </w:p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6606A6" w:rsidRDefault="006606A6">
            <w:pPr>
              <w:jc w:val="center"/>
            </w:pPr>
          </w:p>
          <w:p w:rsidR="006606A6" w:rsidRDefault="006606A6">
            <w:pPr>
              <w:jc w:val="center"/>
            </w:pPr>
          </w:p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  <w:p w:rsidR="006606A6" w:rsidRDefault="006606A6">
            <w:pPr>
              <w:jc w:val="center"/>
            </w:pPr>
          </w:p>
          <w:p w:rsidR="006606A6" w:rsidRDefault="006606A6">
            <w:pPr>
              <w:jc w:val="center"/>
            </w:pPr>
          </w:p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>30</w:t>
            </w:r>
          </w:p>
        </w:tc>
      </w:tr>
      <w:tr w:rsidR="006606A6" w:rsidRPr="007C7FA0">
        <w:trPr>
          <w:trHeight w:val="47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1.Rozwiązywanie zadań artystycznych</w:t>
            </w: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 xml:space="preserve">2.Praca indywidualna </w:t>
            </w:r>
          </w:p>
        </w:tc>
      </w:tr>
      <w:tr w:rsidR="006606A6" w:rsidRPr="007C7FA0">
        <w:trPr>
          <w:trHeight w:val="719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Metody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weryfikacji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efektów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kształcenia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rPr>
                <w:rFonts w:ascii="Cambria" w:eastAsia="Cambria" w:hAnsi="Cambria" w:cs="Cambria"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1.Realizacja zleconego zadania</w:t>
            </w: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2. Inne metody stosowane przez prowadzącego przedmiot</w:t>
            </w:r>
          </w:p>
        </w:tc>
      </w:tr>
      <w:tr w:rsidR="006606A6" w:rsidRPr="007C7FA0">
        <w:trPr>
          <w:trHeight w:val="452"/>
        </w:trPr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warunki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7051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1"/>
                <w:szCs w:val="21"/>
                <w:lang w:val="pl-PL"/>
              </w:rPr>
              <w:t>Kolokwium po każdym semestrze oraz egzamin końcowy</w:t>
            </w:r>
          </w:p>
        </w:tc>
      </w:tr>
      <w:tr w:rsidR="006606A6" w:rsidRPr="007C7FA0">
        <w:trPr>
          <w:trHeight w:val="754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06A6" w:rsidRPr="007C7FA0" w:rsidRDefault="000F590A">
            <w:pPr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</w:pPr>
            <w:r w:rsidRPr="007C7FA0">
              <w:rPr>
                <w:rFonts w:ascii="Cambria" w:eastAsia="Cambria" w:hAnsi="Cambria" w:cs="Cambria"/>
                <w:b/>
                <w:bCs/>
                <w:sz w:val="20"/>
                <w:szCs w:val="20"/>
                <w:lang w:val="pl-PL"/>
              </w:rPr>
              <w:t xml:space="preserve">Literatura podstawowa </w:t>
            </w:r>
          </w:p>
          <w:p w:rsidR="006606A6" w:rsidRPr="007C7FA0" w:rsidRDefault="006606A6">
            <w:pPr>
              <w:rPr>
                <w:rFonts w:ascii="Cambria" w:eastAsia="Cambria" w:hAnsi="Cambria" w:cs="Cambria"/>
                <w:b/>
                <w:bCs/>
                <w:sz w:val="8"/>
                <w:szCs w:val="8"/>
                <w:lang w:val="pl-PL"/>
              </w:rPr>
            </w:pPr>
          </w:p>
          <w:p w:rsidR="006606A6" w:rsidRPr="007C7FA0" w:rsidRDefault="000F590A">
            <w:pPr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0"/>
                <w:szCs w:val="20"/>
                <w:lang w:val="pl-PL"/>
              </w:rPr>
              <w:t>Literatura przedmiotu ustalana jest przez Profesorów prowadzących przedmiot dyrygentura.</w:t>
            </w:r>
          </w:p>
        </w:tc>
      </w:tr>
      <w:tr w:rsidR="006606A6">
        <w:trPr>
          <w:trHeight w:val="363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PUNKTACJA ECTS</w:t>
            </w:r>
          </w:p>
        </w:tc>
      </w:tr>
      <w:tr w:rsidR="006606A6">
        <w:trPr>
          <w:trHeight w:val="305"/>
        </w:trPr>
        <w:tc>
          <w:tcPr>
            <w:tcW w:w="362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Liczba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punktów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ECTS</w:t>
            </w:r>
          </w:p>
        </w:tc>
        <w:tc>
          <w:tcPr>
            <w:tcW w:w="5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r>
              <w:t>28, 12</w:t>
            </w:r>
          </w:p>
        </w:tc>
      </w:tr>
      <w:tr w:rsidR="006606A6">
        <w:trPr>
          <w:trHeight w:val="320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Default="000F590A">
            <w:pPr>
              <w:jc w:val="center"/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MOŻLIWOŚCI KARIERY ZAWODOWEJ</w:t>
            </w:r>
          </w:p>
        </w:tc>
      </w:tr>
      <w:tr w:rsidR="006606A6" w:rsidRPr="007C7FA0">
        <w:trPr>
          <w:trHeight w:val="971"/>
        </w:trPr>
        <w:tc>
          <w:tcPr>
            <w:tcW w:w="88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06A6" w:rsidRPr="007C7FA0" w:rsidRDefault="000F590A">
            <w:pPr>
              <w:jc w:val="both"/>
              <w:rPr>
                <w:lang w:val="pl-PL"/>
              </w:rPr>
            </w:pPr>
            <w:r w:rsidRPr="007C7FA0">
              <w:rPr>
                <w:rFonts w:ascii="Cambria" w:eastAsia="Cambria" w:hAnsi="Cambria" w:cs="Cambria"/>
                <w:sz w:val="22"/>
                <w:szCs w:val="22"/>
                <w:lang w:val="pl-PL"/>
              </w:rPr>
              <w:t>Absolwenci przygotowani są do wszechstronnej, samodzielnej działalności koncertowej jako dyrygenci chórów czy zespołów wokalnych. Studentów cechuje wysoko rozwinięta osobowość artystyczna oraz indywidualność realizacji zadań artystycznych. Jedną z powinności studiów podyplomowych jest utrwalenie wewnętrznego imperatywu dożywotniego doskonalenia się.</w:t>
            </w:r>
          </w:p>
        </w:tc>
      </w:tr>
    </w:tbl>
    <w:p w:rsidR="006606A6" w:rsidRPr="007C7FA0" w:rsidRDefault="006606A6">
      <w:pPr>
        <w:widowControl w:val="0"/>
        <w:rPr>
          <w:rFonts w:ascii="Cambria" w:eastAsia="Cambria" w:hAnsi="Cambria" w:cs="Cambria"/>
          <w:sz w:val="16"/>
          <w:szCs w:val="16"/>
          <w:lang w:val="pl-PL"/>
        </w:rPr>
      </w:pPr>
    </w:p>
    <w:p w:rsidR="006606A6" w:rsidRPr="007C7FA0" w:rsidRDefault="000F590A">
      <w:pPr>
        <w:widowControl w:val="0"/>
        <w:tabs>
          <w:tab w:val="left" w:pos="5126"/>
        </w:tabs>
        <w:rPr>
          <w:lang w:val="pl-PL"/>
        </w:rPr>
      </w:pPr>
      <w:r w:rsidRPr="007C7FA0">
        <w:rPr>
          <w:rFonts w:ascii="Cambria" w:eastAsia="Cambria" w:hAnsi="Cambria" w:cs="Cambria"/>
          <w:sz w:val="16"/>
          <w:szCs w:val="16"/>
          <w:lang w:val="pl-PL"/>
        </w:rPr>
        <w:tab/>
      </w:r>
      <w:r w:rsidRPr="007C7FA0">
        <w:rPr>
          <w:rFonts w:ascii="Cambria" w:eastAsia="Cambria" w:hAnsi="Cambria" w:cs="Cambria"/>
          <w:sz w:val="16"/>
          <w:szCs w:val="16"/>
          <w:lang w:val="pl-PL"/>
        </w:rPr>
        <w:br/>
      </w:r>
      <w:r w:rsidRPr="007C7FA0">
        <w:rPr>
          <w:rFonts w:ascii="Cambria" w:eastAsia="Cambria" w:hAnsi="Cambria" w:cs="Cambria"/>
          <w:sz w:val="16"/>
          <w:szCs w:val="16"/>
          <w:lang w:val="pl-PL"/>
        </w:rPr>
        <w:br w:type="page"/>
      </w:r>
    </w:p>
    <w:p w:rsidR="006606A6" w:rsidRPr="007C7FA0" w:rsidRDefault="000F590A">
      <w:pPr>
        <w:widowControl w:val="0"/>
        <w:tabs>
          <w:tab w:val="left" w:pos="5126"/>
        </w:tabs>
        <w:rPr>
          <w:lang w:val="pl-PL"/>
        </w:rPr>
      </w:pPr>
      <w:r w:rsidRPr="007C7FA0">
        <w:rPr>
          <w:rFonts w:ascii="Cambria" w:eastAsia="Cambria" w:hAnsi="Cambria" w:cs="Cambria"/>
          <w:sz w:val="16"/>
          <w:szCs w:val="16"/>
          <w:lang w:val="pl-PL"/>
        </w:rPr>
        <w:lastRenderedPageBreak/>
        <w:br w:type="page"/>
      </w:r>
    </w:p>
    <w:p w:rsidR="006606A6" w:rsidRPr="007C7FA0" w:rsidRDefault="006606A6">
      <w:pPr>
        <w:widowControl w:val="0"/>
        <w:tabs>
          <w:tab w:val="left" w:pos="5126"/>
        </w:tabs>
        <w:rPr>
          <w:lang w:val="pl-PL"/>
        </w:rPr>
      </w:pPr>
    </w:p>
    <w:sectPr w:rsidR="006606A6" w:rsidRPr="007C7FA0">
      <w:headerReference w:type="default" r:id="rId9"/>
      <w:footerReference w:type="default" r:id="rId10"/>
      <w:pgSz w:w="11900" w:h="16840"/>
      <w:pgMar w:top="71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493" w:rsidRDefault="004D4493">
      <w:r>
        <w:separator/>
      </w:r>
    </w:p>
  </w:endnote>
  <w:endnote w:type="continuationSeparator" w:id="0">
    <w:p w:rsidR="004D4493" w:rsidRDefault="004D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A6" w:rsidRDefault="006606A6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493" w:rsidRDefault="004D4493">
      <w:r>
        <w:separator/>
      </w:r>
    </w:p>
  </w:footnote>
  <w:footnote w:type="continuationSeparator" w:id="0">
    <w:p w:rsidR="004D4493" w:rsidRDefault="004D4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6A6" w:rsidRDefault="006606A6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1F4"/>
    <w:multiLevelType w:val="multilevel"/>
    <w:tmpl w:val="472CE66C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">
    <w:nsid w:val="097C0501"/>
    <w:multiLevelType w:val="multilevel"/>
    <w:tmpl w:val="5B2041B4"/>
    <w:styleLink w:val="Zaimportowanystyl1"/>
    <w:lvl w:ilvl="0">
      <w:start w:val="5"/>
      <w:numFmt w:val="decimal"/>
      <w:lvlText w:val="%1."/>
      <w:lvlJc w:val="left"/>
      <w:pPr>
        <w:tabs>
          <w:tab w:val="num" w:pos="675"/>
        </w:tabs>
        <w:ind w:left="67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</w:abstractNum>
  <w:abstractNum w:abstractNumId="2">
    <w:nsid w:val="0BF326B4"/>
    <w:multiLevelType w:val="multilevel"/>
    <w:tmpl w:val="FBF44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</w:abstractNum>
  <w:abstractNum w:abstractNumId="3">
    <w:nsid w:val="31FF3E5E"/>
    <w:multiLevelType w:val="multilevel"/>
    <w:tmpl w:val="AE7A1BF0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2">
      <w:start w:val="1"/>
      <w:numFmt w:val="lowerRoman"/>
      <w:lvlText w:val="%3."/>
      <w:lvlJc w:val="left"/>
      <w:pPr>
        <w:tabs>
          <w:tab w:val="num" w:pos="2123"/>
        </w:tabs>
        <w:ind w:left="212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5">
      <w:start w:val="1"/>
      <w:numFmt w:val="lowerRoman"/>
      <w:lvlText w:val="%6."/>
      <w:lvlJc w:val="left"/>
      <w:pPr>
        <w:tabs>
          <w:tab w:val="num" w:pos="4283"/>
        </w:tabs>
        <w:ind w:left="428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15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  <w:lvl w:ilvl="8">
      <w:start w:val="1"/>
      <w:numFmt w:val="lowerRoman"/>
      <w:lvlText w:val="%9."/>
      <w:lvlJc w:val="left"/>
      <w:pPr>
        <w:tabs>
          <w:tab w:val="num" w:pos="6443"/>
        </w:tabs>
        <w:ind w:left="6443" w:hanging="259"/>
      </w:pPr>
      <w:rPr>
        <w:rFonts w:ascii="Cambria" w:eastAsia="Cambria" w:hAnsi="Cambria" w:cs="Cambri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1"/>
        <w:szCs w:val="21"/>
        <w:u w:val="none" w:color="000000"/>
        <w:vertAlign w:val="baseline"/>
        <w:rtl w:val="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606A6"/>
    <w:rsid w:val="000F590A"/>
    <w:rsid w:val="004D4493"/>
    <w:rsid w:val="00605B7D"/>
    <w:rsid w:val="006606A6"/>
    <w:rsid w:val="007C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rmalnyWeb">
    <w:name w:val="Normal (Web)"/>
    <w:pPr>
      <w:spacing w:before="100" w:after="119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Zaimportowanystyl1"/>
    <w:pPr>
      <w:numPr>
        <w:numId w:val="3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5B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B7D"/>
    <w:rPr>
      <w:rFonts w:ascii="Tahoma" w:hAnsi="Tahoma" w:cs="Tahoma"/>
      <w:color w:val="000000"/>
      <w:sz w:val="16"/>
      <w:szCs w:val="16"/>
      <w:u w:color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sz w:val="24"/>
      <w:szCs w:val="24"/>
      <w:u w:color="00000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rmalnyWeb">
    <w:name w:val="Normal (Web)"/>
    <w:pPr>
      <w:spacing w:before="100" w:after="119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Zaimportowanystyl1"/>
    <w:pPr>
      <w:numPr>
        <w:numId w:val="3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5B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B7D"/>
    <w:rPr>
      <w:rFonts w:ascii="Tahoma" w:hAnsi="Tahoma" w:cs="Tahoma"/>
      <w:color w:val="000000"/>
      <w:sz w:val="16"/>
      <w:szCs w:val="16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2015-02-09T08:10:00Z</dcterms:created>
  <dcterms:modified xsi:type="dcterms:W3CDTF">2015-02-10T08:26:00Z</dcterms:modified>
</cp:coreProperties>
</file>