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407" w:rsidRDefault="00514407" w:rsidP="00514407">
      <w:pPr>
        <w:spacing w:before="120"/>
        <w:rPr>
          <w:rFonts w:ascii="Tahoma"/>
          <w:caps/>
          <w:color w:val="777777"/>
        </w:rPr>
      </w:pPr>
    </w:p>
    <w:p w:rsidR="00514407" w:rsidRDefault="00514407" w:rsidP="00514407">
      <w:pPr>
        <w:spacing w:before="120"/>
        <w:jc w:val="center"/>
        <w:rPr>
          <w:rFonts w:ascii="Tahoma"/>
          <w:caps/>
          <w:color w:val="777777"/>
        </w:rPr>
      </w:pPr>
      <w:r>
        <w:rPr>
          <w:noProof/>
          <w:lang w:val="pl-PL" w:eastAsia="pl-PL"/>
        </w:rPr>
        <w:drawing>
          <wp:inline distT="0" distB="0" distL="0" distR="0">
            <wp:extent cx="1477645" cy="882650"/>
            <wp:effectExtent l="19050" t="0" r="8255" b="0"/>
            <wp:docPr id="1" name="Obraz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407" w:rsidRDefault="00514407" w:rsidP="00514407">
      <w:pPr>
        <w:spacing w:before="120"/>
        <w:jc w:val="center"/>
        <w:rPr>
          <w:rFonts w:ascii="Tahoma"/>
          <w:caps/>
          <w:color w:val="777777"/>
        </w:rPr>
      </w:pPr>
    </w:p>
    <w:p w:rsidR="00514407" w:rsidRDefault="00514407" w:rsidP="00514407">
      <w:pPr>
        <w:spacing w:before="120"/>
        <w:jc w:val="center"/>
        <w:rPr>
          <w:rFonts w:ascii="Tahoma" w:eastAsia="Tahoma" w:hAnsi="Tahoma" w:cs="Tahoma"/>
          <w:caps/>
          <w:color w:val="777777"/>
          <w:lang w:val="pl-PL"/>
        </w:rPr>
      </w:pPr>
      <w:r>
        <w:rPr>
          <w:rFonts w:ascii="Tahoma"/>
          <w:caps/>
          <w:color w:val="777777"/>
          <w:lang w:val="pl-PL"/>
        </w:rPr>
        <w:t>Akademia muzyczna im. feliksa nowowiejskiego w bydgoszczy</w:t>
      </w:r>
    </w:p>
    <w:p w:rsidR="00514407" w:rsidRDefault="00514407" w:rsidP="00514407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  <w:lang w:val="pl-PL"/>
        </w:rPr>
      </w:pPr>
      <w:r>
        <w:rPr>
          <w:rFonts w:ascii="Tahoma"/>
          <w:color w:val="777777"/>
          <w:spacing w:val="100"/>
          <w:sz w:val="16"/>
          <w:szCs w:val="16"/>
          <w:lang w:val="pl-PL"/>
        </w:rPr>
        <w:t>Wydzia</w:t>
      </w:r>
      <w:r>
        <w:rPr>
          <w:rFonts w:hAnsi="Tahoma"/>
          <w:color w:val="777777"/>
          <w:spacing w:val="100"/>
          <w:sz w:val="16"/>
          <w:szCs w:val="16"/>
          <w:lang w:val="pl-PL"/>
        </w:rPr>
        <w:t>ł</w:t>
      </w:r>
      <w:r>
        <w:rPr>
          <w:color w:val="777777"/>
          <w:spacing w:val="100"/>
          <w:sz w:val="16"/>
          <w:szCs w:val="16"/>
          <w:lang w:val="pl-PL"/>
        </w:rPr>
        <w:t xml:space="preserve"> </w:t>
      </w:r>
      <w:r>
        <w:rPr>
          <w:rFonts w:ascii="Tahoma"/>
          <w:color w:val="777777"/>
          <w:spacing w:val="100"/>
          <w:sz w:val="16"/>
          <w:szCs w:val="16"/>
          <w:lang w:val="pl-PL"/>
        </w:rPr>
        <w:t>Dyrygentury, Jazzu i Edukacji Muzycznej</w:t>
      </w:r>
    </w:p>
    <w:p w:rsidR="00514407" w:rsidRDefault="00514407" w:rsidP="00514407">
      <w:pPr>
        <w:rPr>
          <w:rFonts w:ascii="Cambria" w:eastAsia="Cambria" w:hAnsi="Cambria" w:cs="Cambria"/>
          <w:color w:val="777777"/>
          <w:sz w:val="16"/>
          <w:szCs w:val="16"/>
          <w:lang w:val="pl-PL"/>
        </w:rPr>
      </w:pPr>
    </w:p>
    <w:p w:rsidR="00514407" w:rsidRDefault="00514407" w:rsidP="00514407">
      <w:pPr>
        <w:widowControl w:val="0"/>
        <w:jc w:val="center"/>
        <w:rPr>
          <w:rFonts w:ascii="Cambria" w:eastAsia="Cambria" w:hAnsi="Cambria" w:cs="Cambria"/>
          <w:lang w:val="pl-PL"/>
        </w:rPr>
      </w:pPr>
      <w:r>
        <w:rPr>
          <w:rFonts w:ascii="Cambria" w:eastAsia="Cambria" w:hAnsi="Cambria" w:cs="Cambria"/>
          <w:lang w:val="pl-PL"/>
        </w:rPr>
        <w:t>PROGRAM AUTORSKI</w:t>
      </w:r>
    </w:p>
    <w:tbl>
      <w:tblPr>
        <w:tblStyle w:val="TableNormal"/>
        <w:tblW w:w="8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276"/>
        <w:gridCol w:w="521"/>
        <w:gridCol w:w="530"/>
        <w:gridCol w:w="733"/>
        <w:gridCol w:w="2364"/>
        <w:gridCol w:w="975"/>
        <w:gridCol w:w="465"/>
        <w:gridCol w:w="1463"/>
      </w:tblGrid>
      <w:tr w:rsidR="00514407" w:rsidTr="002F75DD">
        <w:trPr>
          <w:trHeight w:val="672"/>
        </w:trPr>
        <w:tc>
          <w:tcPr>
            <w:tcW w:w="69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Nazwa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: 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it-IT" w:eastAsia="pl-PL"/>
              </w:rPr>
              <w:t>Akompaniament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PSChiEGPK1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PSChiEGPK3</w:t>
            </w:r>
          </w:p>
        </w:tc>
      </w:tr>
      <w:tr w:rsidR="00514407" w:rsidTr="002F75DD">
        <w:trPr>
          <w:trHeight w:val="687"/>
        </w:trPr>
        <w:tc>
          <w:tcPr>
            <w:tcW w:w="6967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Nazwa jednostki prowadzącej moduł/przedmiot: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Wydział Dyrygentury, Jazzu i Edukacji Muzycznej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Obowiązuje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od</w:t>
            </w:r>
          </w:p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roku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akademickiego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2014/2015</w:t>
            </w:r>
          </w:p>
        </w:tc>
      </w:tr>
      <w:tr w:rsidR="00514407" w:rsidRPr="00B918AF" w:rsidTr="002F75DD">
        <w:trPr>
          <w:trHeight w:val="452"/>
        </w:trPr>
        <w:tc>
          <w:tcPr>
            <w:tcW w:w="8895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Nazwa kierunku: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Podyplomowe Studia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Chórmistrzostwa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i Emisji Głosu</w:t>
            </w:r>
          </w:p>
        </w:tc>
      </w:tr>
      <w:tr w:rsidR="00514407" w:rsidTr="002F75DD">
        <w:trPr>
          <w:trHeight w:val="452"/>
        </w:trPr>
        <w:tc>
          <w:tcPr>
            <w:tcW w:w="289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studiów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Studia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podyplomowe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Profil kształcenia: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ogólno - akademicki (A)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Status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Kierunkowy</w:t>
            </w:r>
            <w:proofErr w:type="spellEnd"/>
          </w:p>
        </w:tc>
      </w:tr>
      <w:tr w:rsidR="00514407" w:rsidRPr="00B918AF" w:rsidTr="002F75DD">
        <w:trPr>
          <w:trHeight w:val="662"/>
        </w:trPr>
        <w:tc>
          <w:tcPr>
            <w:tcW w:w="599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Specjalność:</w:t>
            </w:r>
          </w:p>
          <w:p w:rsidR="00514407" w:rsidRDefault="00514407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Emisja głosu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Dyrygentura chóralna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Rok/Liczba semestrów: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I-II/I-IV</w:t>
            </w:r>
          </w:p>
        </w:tc>
      </w:tr>
      <w:tr w:rsidR="00514407" w:rsidTr="002F75DD">
        <w:trPr>
          <w:trHeight w:val="667"/>
        </w:trPr>
        <w:tc>
          <w:tcPr>
            <w:tcW w:w="289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Język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</w:p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polski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praktyka</w:t>
            </w:r>
            <w:proofErr w:type="spellEnd"/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Wymiar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407" w:rsidRDefault="00514407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60</w:t>
            </w:r>
          </w:p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60</w:t>
            </w:r>
          </w:p>
        </w:tc>
      </w:tr>
      <w:tr w:rsidR="00514407" w:rsidTr="002F75DD">
        <w:trPr>
          <w:trHeight w:val="305"/>
        </w:trPr>
        <w:tc>
          <w:tcPr>
            <w:tcW w:w="2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nl-NL" w:eastAsia="pl-PL"/>
              </w:rPr>
              <w:t>Koordynator modu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łu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dr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Ewa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Rafałko</w:t>
            </w:r>
            <w:proofErr w:type="spellEnd"/>
          </w:p>
        </w:tc>
      </w:tr>
      <w:tr w:rsidR="00514407" w:rsidTr="002F75DD">
        <w:trPr>
          <w:trHeight w:val="300"/>
        </w:trPr>
        <w:tc>
          <w:tcPr>
            <w:tcW w:w="236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Prowadzący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zajęcia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mgr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Adam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Szyszka</w:t>
            </w:r>
            <w:proofErr w:type="spellEnd"/>
          </w:p>
        </w:tc>
      </w:tr>
      <w:tr w:rsidR="00514407" w:rsidRPr="00B918AF" w:rsidTr="002F75DD">
        <w:trPr>
          <w:trHeight w:val="735"/>
        </w:trPr>
        <w:tc>
          <w:tcPr>
            <w:tcW w:w="236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Cele i założenia </w:t>
            </w:r>
          </w:p>
          <w:p w:rsidR="00514407" w:rsidRDefault="00514407">
            <w:pPr>
              <w:jc w:val="center"/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przedmiotu/modułu</w:t>
            </w:r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2F75DD" w:rsidRDefault="002F75DD" w:rsidP="002F75D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  <w:bdr w:val="none" w:sz="0" w:space="0" w:color="auto" w:frame="1"/>
                <w:lang w:val="pl-PL"/>
              </w:rPr>
            </w:pP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Umiej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ę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tno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ść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 xml:space="preserve"> wsp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ół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pracy z pianista</w:t>
            </w:r>
          </w:p>
          <w:p w:rsidR="002F75DD" w:rsidRPr="002F75DD" w:rsidRDefault="002F75DD" w:rsidP="002F75D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  <w:bdr w:val="none" w:sz="0" w:space="0" w:color="auto" w:frame="1"/>
                <w:lang w:val="pl-PL"/>
              </w:rPr>
            </w:pP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Zapoznanie z parti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ą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 xml:space="preserve"> fortepianu w wykonywanej kompozycji</w:t>
            </w:r>
          </w:p>
          <w:p w:rsidR="002F75DD" w:rsidRPr="002F75DD" w:rsidRDefault="002F75DD" w:rsidP="002F75D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  <w:bdr w:val="none" w:sz="0" w:space="0" w:color="auto" w:frame="1"/>
                <w:lang w:val="pl-PL"/>
              </w:rPr>
            </w:pP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Rozwijanie w toku praktyki wykonawczej umiej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ę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tno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ś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ci maj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ą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cych wp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ł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yw na interpretacj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ę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 xml:space="preserve"> utworu muzycznego z uwzgl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ę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dnieniem formy i stylu</w:t>
            </w:r>
          </w:p>
          <w:p w:rsidR="002F75DD" w:rsidRPr="002F75DD" w:rsidRDefault="002F75DD" w:rsidP="002F75D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  <w:bdr w:val="none" w:sz="0" w:space="0" w:color="auto" w:frame="1"/>
                <w:lang w:val="pl-PL"/>
              </w:rPr>
            </w:pP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Rozwijanie wyobra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ź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ni i wra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ż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liwo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ś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ci muzycznej poprzez praktyczne poznanie literatury solowej i kameralnej</w:t>
            </w:r>
          </w:p>
          <w:p w:rsidR="002F75DD" w:rsidRPr="002F75DD" w:rsidRDefault="002F75DD" w:rsidP="002F75DD">
            <w:pPr>
              <w:pStyle w:val="Akapitzlist"/>
              <w:numPr>
                <w:ilvl w:val="0"/>
                <w:numId w:val="3"/>
              </w:numPr>
              <w:rPr>
                <w:bdr w:val="none" w:sz="0" w:space="0" w:color="auto" w:frame="1"/>
                <w:lang w:val="pl-PL"/>
              </w:rPr>
            </w:pP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Praca nad intonacj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>ą</w:t>
            </w:r>
            <w:r w:rsidRPr="002F75DD">
              <w:rPr>
                <w:sz w:val="22"/>
                <w:szCs w:val="22"/>
                <w:bdr w:val="none" w:sz="0" w:space="0" w:color="auto" w:frame="1"/>
                <w:lang w:val="pl-PL"/>
              </w:rPr>
              <w:t xml:space="preserve"> w aspekcie stroju temperowanego</w:t>
            </w:r>
          </w:p>
        </w:tc>
      </w:tr>
      <w:tr w:rsidR="00514407" w:rsidRPr="00B918AF" w:rsidTr="002F75DD">
        <w:trPr>
          <w:trHeight w:val="551"/>
        </w:trPr>
        <w:tc>
          <w:tcPr>
            <w:tcW w:w="236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Wymagania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wstępne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rFonts w:ascii="Cambria" w:hAnsi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  <w:r w:rsidRPr="002F75DD">
              <w:rPr>
                <w:rFonts w:ascii="Cambria" w:hAnsi="Cambria"/>
                <w:sz w:val="22"/>
                <w:szCs w:val="22"/>
                <w:bdr w:val="none" w:sz="0" w:space="0" w:color="auto" w:frame="1"/>
                <w:lang w:val="pl-PL" w:eastAsia="pl-PL"/>
              </w:rPr>
              <w:t>Ukończone studia II stopnia wszystkich wydziałów Akademii Muzycznych, innych szkół wyższych kierunków muzycznych oraz muzykologii.</w:t>
            </w:r>
          </w:p>
          <w:p w:rsidR="002F75DD" w:rsidRPr="002F75DD" w:rsidRDefault="002F75DD">
            <w:pPr>
              <w:rPr>
                <w:sz w:val="22"/>
                <w:szCs w:val="22"/>
                <w:bdr w:val="none" w:sz="0" w:space="0" w:color="auto" w:frame="1"/>
                <w:lang w:val="pl-PL"/>
              </w:rPr>
            </w:pPr>
          </w:p>
        </w:tc>
      </w:tr>
      <w:tr w:rsidR="00514407" w:rsidTr="002F75DD">
        <w:trPr>
          <w:trHeight w:val="281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EFEKTY KSZTAŁCENIA PRZEDMIOTU</w:t>
            </w:r>
          </w:p>
        </w:tc>
      </w:tr>
      <w:tr w:rsidR="00514407" w:rsidTr="002F75DD">
        <w:trPr>
          <w:trHeight w:val="432"/>
        </w:trPr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407" w:rsidRDefault="00514407">
            <w:pPr>
              <w:rPr>
                <w:bdr w:val="none" w:sz="0" w:space="0" w:color="auto" w:frame="1"/>
              </w:rPr>
            </w:pP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>efektu</w:t>
            </w:r>
            <w:proofErr w:type="spellEnd"/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407" w:rsidRDefault="00514407">
            <w:pPr>
              <w:rPr>
                <w:bdr w:val="none" w:sz="0" w:space="0" w:color="auto" w:frame="1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Kierunkowy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efekt</w:t>
            </w:r>
            <w:proofErr w:type="spellEnd"/>
          </w:p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kształcenia</w:t>
            </w:r>
            <w:proofErr w:type="spellEnd"/>
          </w:p>
        </w:tc>
      </w:tr>
      <w:tr w:rsidR="00514407" w:rsidTr="002F75DD">
        <w:trPr>
          <w:trHeight w:val="1048"/>
        </w:trPr>
        <w:tc>
          <w:tcPr>
            <w:tcW w:w="1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Wiedza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</w:p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W01</w:t>
            </w: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>Słuchacz zna strukturę budowy formalnej wykonywanego utworu, jako kompozycji na głos z towarzyszeniem fortepianu</w:t>
            </w: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407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       </w:t>
            </w:r>
            <w:r w:rsidR="00514407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K_W01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K_W02</w:t>
            </w: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 w:rsidP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K_W05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        K_U01</w:t>
            </w:r>
          </w:p>
          <w:p w:rsidR="005C0D82" w:rsidRDefault="005C0D82" w:rsidP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K_U02</w:t>
            </w: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K_U04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K_U05</w:t>
            </w:r>
          </w:p>
          <w:p w:rsidR="00514407" w:rsidRDefault="00514407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C0D82" w:rsidRDefault="005C0D82" w:rsidP="005C0D82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K_U08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K_K01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K_K05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K_K01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K_K06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C0D82" w:rsidRDefault="005C0D82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rPr>
                <w:bdr w:val="none" w:sz="0" w:space="0" w:color="auto" w:frame="1"/>
              </w:rPr>
            </w:pPr>
          </w:p>
        </w:tc>
      </w:tr>
      <w:tr w:rsidR="00514407" w:rsidRPr="00B918AF" w:rsidTr="002F75DD">
        <w:trPr>
          <w:trHeight w:val="1259"/>
        </w:trPr>
        <w:tc>
          <w:tcPr>
            <w:tcW w:w="1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W02</w:t>
            </w: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Słuchacz rozumie rolę i znaczenie partii fortepianu w procesie budowy finalnego efektu artystycznego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RPr="00B918AF" w:rsidTr="002F75DD">
        <w:trPr>
          <w:trHeight w:val="661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Umiejętności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U01</w:t>
            </w: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Słuchacz potrafi artystycznie wykonywać partię wokalną ze świadomością współpracy z partią fortepianu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RPr="00B918AF" w:rsidTr="002F75DD">
        <w:trPr>
          <w:trHeight w:val="721"/>
        </w:trPr>
        <w:tc>
          <w:tcPr>
            <w:tcW w:w="156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U02</w:t>
            </w: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Słuchacz świadomie uczestniczy w wykonywaniu utworów przeznaczonych na głos z fortepianem, jako kompozycji z gatunku muzyki kameralnej potrafi reagować na artystyczne szczegóły współpracy z pianistą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RPr="00B918AF" w:rsidTr="002F75DD">
        <w:trPr>
          <w:trHeight w:val="677"/>
        </w:trPr>
        <w:tc>
          <w:tcPr>
            <w:tcW w:w="156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U03</w:t>
            </w: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Poprzez swoją osobowość artystyczną Słuchacz potrafi współpracować na scenie z pianistą 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RPr="00B918AF" w:rsidTr="002F75DD">
        <w:trPr>
          <w:trHeight w:val="844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Kompetencje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społeczne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</w:p>
          <w:p w:rsidR="00514407" w:rsidRDefault="00514407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2F75DD" w:rsidRDefault="002F75DD">
            <w:pPr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K01</w:t>
            </w: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Słuchacz  posiada umiejętność współdziałania z</w:t>
            </w:r>
            <w:r w:rsidR="005C0D82"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 pianistą</w:t>
            </w: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 i organizację pracy własnej i zespołowej</w:t>
            </w:r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RPr="00B918AF" w:rsidTr="002F75DD">
        <w:trPr>
          <w:trHeight w:val="2742"/>
        </w:trPr>
        <w:tc>
          <w:tcPr>
            <w:tcW w:w="156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K02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Podczas pracy nad repertuarem Słuchacz umiejętnie wykorzystuje wiedzę z zakresu emisji głosu i techniki wokalnej, stylowości i form muzycznych</w:t>
            </w: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  <w:bookmarkStart w:id="0" w:name="_GoBack"/>
            <w:bookmarkEnd w:id="0"/>
          </w:p>
        </w:tc>
        <w:tc>
          <w:tcPr>
            <w:tcW w:w="146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407" w:rsidRPr="00514407" w:rsidRDefault="00514407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407" w:rsidTr="002F75DD">
        <w:trPr>
          <w:trHeight w:val="362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TREŚCI PROGRAMOWE PRZEDMIOTU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godzin</w:t>
            </w:r>
            <w:proofErr w:type="spellEnd"/>
          </w:p>
        </w:tc>
      </w:tr>
      <w:tr w:rsidR="00514407" w:rsidTr="002F75DD">
        <w:trPr>
          <w:trHeight w:val="2212"/>
        </w:trPr>
        <w:tc>
          <w:tcPr>
            <w:tcW w:w="74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514407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eastAsia="en-US"/>
              </w:rPr>
              <w:t>Współpraca z akompaniatorem pianistą w zakresie przygotowania i realizacji akompaniamentów w partiach solowych, kameralnych, wyciągów fortepianowych , zespołowych i partytur chóralnych</w:t>
            </w: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  <w:t xml:space="preserve"> </w:t>
            </w:r>
          </w:p>
          <w:p w:rsidR="00514407" w:rsidRDefault="00514407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  <w:t>Pogłębianie wrażliwości muzycznej właściwej wspólnemu muzykowaniu</w:t>
            </w:r>
          </w:p>
          <w:p w:rsidR="00514407" w:rsidRDefault="00514407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  <w:t>Poznawanie różnych możliwości interpretacji jednego utworu</w:t>
            </w:r>
          </w:p>
          <w:p w:rsidR="00514407" w:rsidRDefault="00514407">
            <w:pPr>
              <w:pStyle w:val="NormalnyWeb"/>
              <w:numPr>
                <w:ilvl w:val="0"/>
                <w:numId w:val="2"/>
              </w:numPr>
              <w:spacing w:after="0" w:line="276" w:lineRule="auto"/>
              <w:rPr>
                <w:bdr w:val="none" w:sz="0" w:space="0" w:color="auto" w:frame="1"/>
                <w:lang w:eastAsia="en-US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eastAsia="en-US"/>
              </w:rPr>
              <w:t xml:space="preserve">Dobór środków wykonawczych i wyrazowych w przygotowaniu dzieła solowego z akompaniamentem oraz zespołowego z akompaniamentem 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407" w:rsidRDefault="00514407">
            <w:pPr>
              <w:rPr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407" w:rsidRDefault="00514407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</w:tc>
      </w:tr>
      <w:tr w:rsidR="00514407" w:rsidRPr="00B918AF" w:rsidTr="002F75DD">
        <w:trPr>
          <w:trHeight w:val="472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407" w:rsidRDefault="006B2A5D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  <w:t xml:space="preserve">1. 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Korepetycja instrumentalno-wokalna</w:t>
            </w:r>
          </w:p>
          <w:p w:rsidR="00514407" w:rsidRPr="006B2A5D" w:rsidRDefault="00514407" w:rsidP="006B2A5D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2.Praca indywidualna </w:t>
            </w:r>
          </w:p>
        </w:tc>
      </w:tr>
      <w:tr w:rsidR="00514407" w:rsidRPr="00B918AF" w:rsidTr="002F75DD">
        <w:trPr>
          <w:trHeight w:val="719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6B2A5D" w:rsidRDefault="00514407">
            <w:pPr>
              <w:jc w:val="center"/>
              <w:rPr>
                <w:bdr w:val="none" w:sz="0" w:space="0" w:color="auto" w:frame="1"/>
                <w:lang w:val="pl-PL"/>
              </w:rPr>
            </w:pPr>
            <w:r w:rsidRPr="006B2A5D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Metody weryfikacji efektów kształcenia</w:t>
            </w:r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1.Realizacja zleconego zadania</w:t>
            </w:r>
          </w:p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2. Różnorodne inne metody stosowane przez prowadzącego przedmiot</w:t>
            </w:r>
          </w:p>
        </w:tc>
      </w:tr>
      <w:tr w:rsidR="00514407" w:rsidRPr="00B918AF" w:rsidTr="002F75DD">
        <w:trPr>
          <w:trHeight w:val="452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center"/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Forma i warunki zaliczenia</w:t>
            </w:r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val="pl-PL" w:eastAsia="pl-PL"/>
              </w:rPr>
              <w:t xml:space="preserve">Kolokwium po każdym semestrze oraz egzamin </w:t>
            </w:r>
            <w:r w:rsidR="006B2A5D"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val="pl-PL" w:eastAsia="pl-PL"/>
              </w:rPr>
              <w:t xml:space="preserve">na zakończenie  I </w:t>
            </w:r>
            <w:proofErr w:type="spellStart"/>
            <w:r w:rsidR="006B2A5D"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val="pl-PL" w:eastAsia="pl-PL"/>
              </w:rPr>
              <w:t>i</w:t>
            </w:r>
            <w:proofErr w:type="spellEnd"/>
            <w:r w:rsidR="006B2A5D"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val="pl-PL" w:eastAsia="pl-PL"/>
              </w:rPr>
              <w:t xml:space="preserve"> II roku studiów</w:t>
            </w:r>
          </w:p>
        </w:tc>
      </w:tr>
      <w:tr w:rsidR="00514407" w:rsidRPr="00B918AF" w:rsidTr="002F75DD">
        <w:trPr>
          <w:trHeight w:val="754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407" w:rsidRDefault="00514407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Literatura podstawowa </w:t>
            </w:r>
          </w:p>
          <w:p w:rsidR="00514407" w:rsidRDefault="00514407">
            <w:pPr>
              <w:rPr>
                <w:rFonts w:ascii="Cambria" w:eastAsia="Cambria" w:hAnsi="Cambria" w:cs="Cambria"/>
                <w:b/>
                <w:bCs/>
                <w:sz w:val="8"/>
                <w:szCs w:val="8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Literatura przedmiotu ustalana jest przez pedagoga prowadzącego przedmiot emisja głosu, predyspozycjami, zainteresowaniami i kreatywnością Słuchacza</w:t>
            </w:r>
          </w:p>
          <w:p w:rsidR="00514407" w:rsidRDefault="00514407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407" w:rsidRDefault="00514407">
            <w:pPr>
              <w:rPr>
                <w:rFonts w:ascii="Cambria" w:eastAsia="Cambria" w:hAnsi="Cambria" w:cs="Cambria"/>
                <w:b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 w:rsidRPr="00514407">
              <w:rPr>
                <w:rFonts w:ascii="Cambria" w:eastAsia="Cambria" w:hAnsi="Cambria" w:cs="Cambria"/>
                <w:b/>
                <w:sz w:val="20"/>
                <w:szCs w:val="20"/>
                <w:bdr w:val="none" w:sz="0" w:space="0" w:color="auto" w:frame="1"/>
                <w:lang w:val="pl-PL" w:eastAsia="pl-PL"/>
              </w:rPr>
              <w:t>Literatura uzupełniająca</w:t>
            </w:r>
          </w:p>
          <w:p w:rsidR="00514407" w:rsidRDefault="00053CD9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J.Marchwiński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– Partnerstwo w muzyce</w:t>
            </w:r>
          </w:p>
          <w:p w:rsidR="00053CD9" w:rsidRDefault="00053CD9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D.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Wierszyłowski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– Psychologia muzyki</w:t>
            </w:r>
          </w:p>
          <w:p w:rsidR="00053CD9" w:rsidRPr="00514407" w:rsidRDefault="00053CD9">
            <w:pPr>
              <w:rPr>
                <w:bdr w:val="none" w:sz="0" w:space="0" w:color="auto" w:frame="1"/>
                <w:lang w:val="pl-PL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D.Gwizdalanka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– Przewodnik po muzyce kameralnej</w:t>
            </w:r>
          </w:p>
        </w:tc>
      </w:tr>
      <w:tr w:rsidR="00514407" w:rsidTr="002F75DD">
        <w:trPr>
          <w:trHeight w:val="363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053CD9" w:rsidRDefault="00514407">
            <w:pPr>
              <w:jc w:val="center"/>
              <w:rPr>
                <w:bdr w:val="none" w:sz="0" w:space="0" w:color="auto" w:frame="1"/>
                <w:lang w:val="pl-PL"/>
              </w:rPr>
            </w:pPr>
            <w:r w:rsidRPr="00053CD9"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PUNKTACJA ECTS</w:t>
            </w:r>
          </w:p>
        </w:tc>
      </w:tr>
      <w:tr w:rsidR="00514407" w:rsidTr="002F75DD">
        <w:trPr>
          <w:trHeight w:val="305"/>
        </w:trPr>
        <w:tc>
          <w:tcPr>
            <w:tcW w:w="3628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053CD9" w:rsidRDefault="00514407">
            <w:pPr>
              <w:rPr>
                <w:bdr w:val="none" w:sz="0" w:space="0" w:color="auto" w:frame="1"/>
                <w:lang w:val="pl-PL"/>
              </w:rPr>
            </w:pPr>
            <w:r w:rsidRPr="00053CD9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Liczba punktów ECTS</w:t>
            </w:r>
          </w:p>
        </w:tc>
        <w:tc>
          <w:tcPr>
            <w:tcW w:w="5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053CD9" w:rsidRDefault="00514407">
            <w:pPr>
              <w:rPr>
                <w:bdr w:val="none" w:sz="0" w:space="0" w:color="auto" w:frame="1"/>
                <w:lang w:val="pl-PL"/>
              </w:rPr>
            </w:pPr>
            <w:r w:rsidRPr="00053CD9">
              <w:rPr>
                <w:bdr w:val="none" w:sz="0" w:space="0" w:color="auto" w:frame="1"/>
                <w:lang w:val="pl-PL" w:eastAsia="pl-PL"/>
              </w:rPr>
              <w:t>28, 12</w:t>
            </w:r>
          </w:p>
        </w:tc>
      </w:tr>
      <w:tr w:rsidR="00514407" w:rsidTr="002F75DD">
        <w:trPr>
          <w:trHeight w:val="320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Pr="00053CD9" w:rsidRDefault="00514407">
            <w:pPr>
              <w:jc w:val="center"/>
              <w:rPr>
                <w:bdr w:val="none" w:sz="0" w:space="0" w:color="auto" w:frame="1"/>
                <w:lang w:val="pl-PL"/>
              </w:rPr>
            </w:pPr>
            <w:r w:rsidRPr="00053CD9"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MOŻLIWOŚCI KARIERY ZAWODOWEJ</w:t>
            </w:r>
          </w:p>
        </w:tc>
      </w:tr>
      <w:tr w:rsidR="00514407" w:rsidRPr="00B918AF" w:rsidTr="002F75DD">
        <w:trPr>
          <w:trHeight w:val="971"/>
        </w:trPr>
        <w:tc>
          <w:tcPr>
            <w:tcW w:w="88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407" w:rsidRDefault="00514407">
            <w:pPr>
              <w:jc w:val="both"/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Kompetencje realizacji przedmiotu w ramach uzyskanych kwalifikacji konsultanta wokalnego, nauczyciela emisji głosu indywidualnej i zespołowej w ramach zajęć emisji głosu, kameralistyki wokalnej, chóru oraz innych zajęć obejmujących pracę głosem</w:t>
            </w:r>
          </w:p>
        </w:tc>
      </w:tr>
    </w:tbl>
    <w:p w:rsidR="00FF639A" w:rsidRPr="00514407" w:rsidRDefault="00FF639A">
      <w:pPr>
        <w:rPr>
          <w:lang w:val="pl-PL"/>
        </w:rPr>
      </w:pPr>
    </w:p>
    <w:sectPr w:rsidR="00FF639A" w:rsidRPr="00514407" w:rsidSect="00FF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900D4"/>
    <w:multiLevelType w:val="multilevel"/>
    <w:tmpl w:val="040450A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67462792"/>
    <w:multiLevelType w:val="hybridMultilevel"/>
    <w:tmpl w:val="E0DAA7C6"/>
    <w:lvl w:ilvl="0" w:tplc="BC4EAA7C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07"/>
    <w:rsid w:val="00053CD9"/>
    <w:rsid w:val="002F75DD"/>
    <w:rsid w:val="00514407"/>
    <w:rsid w:val="005C0D82"/>
    <w:rsid w:val="006B2A5D"/>
    <w:rsid w:val="0075408A"/>
    <w:rsid w:val="0080588D"/>
    <w:rsid w:val="00A1616F"/>
    <w:rsid w:val="00B918AF"/>
    <w:rsid w:val="00C80851"/>
    <w:rsid w:val="00EF0E5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407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NormalnyWeb">
    <w:name w:val="Normal (Web)"/>
    <w:unhideWhenUsed/>
    <w:rsid w:val="00514407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514407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514407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44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407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407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NormalnyWeb">
    <w:name w:val="Normal (Web)"/>
    <w:unhideWhenUsed/>
    <w:rsid w:val="00514407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514407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514407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44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407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Wojtek</dc:creator>
  <cp:lastModifiedBy> </cp:lastModifiedBy>
  <cp:revision>2</cp:revision>
  <dcterms:created xsi:type="dcterms:W3CDTF">2015-02-16T07:00:00Z</dcterms:created>
  <dcterms:modified xsi:type="dcterms:W3CDTF">2015-02-16T07:00:00Z</dcterms:modified>
</cp:coreProperties>
</file>